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4679" w:type="dxa"/>
        <w:tblLook w:val="01E0"/>
      </w:tblPr>
      <w:tblGrid>
        <w:gridCol w:w="4679"/>
      </w:tblGrid>
      <w:tr w:rsidR="00D65995" w:rsidRPr="003048D4" w:rsidTr="00310560">
        <w:trPr>
          <w:trHeight w:val="57"/>
        </w:trPr>
        <w:tc>
          <w:tcPr>
            <w:tcW w:w="4679" w:type="dxa"/>
            <w:shd w:val="clear" w:color="auto" w:fill="auto"/>
          </w:tcPr>
          <w:p w:rsidR="00D65995" w:rsidRPr="003048D4" w:rsidRDefault="00D65995" w:rsidP="00310560">
            <w:pPr>
              <w:spacing w:after="0" w:line="57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8135" cy="516890"/>
                  <wp:effectExtent l="0" t="0" r="5715" b="0"/>
                  <wp:docPr id="2" name="Picture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95" w:rsidRPr="003048D4" w:rsidTr="00310560">
        <w:trPr>
          <w:trHeight w:val="56"/>
        </w:trPr>
        <w:tc>
          <w:tcPr>
            <w:tcW w:w="4679" w:type="dxa"/>
            <w:shd w:val="clear" w:color="auto" w:fill="auto"/>
          </w:tcPr>
          <w:p w:rsidR="00D65995" w:rsidRPr="008A62A7" w:rsidRDefault="00D65995" w:rsidP="00310560">
            <w:pPr>
              <w:spacing w:after="0" w:line="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A7">
              <w:rPr>
                <w:rFonts w:ascii="Times New Roman" w:hAnsi="Times New Roman" w:cs="Times New Roman"/>
                <w:b/>
                <w:sz w:val="24"/>
                <w:szCs w:val="24"/>
              </w:rPr>
              <w:t>REPUBLIC OF SERBIA</w:t>
            </w:r>
          </w:p>
          <w:p w:rsidR="00D65995" w:rsidRPr="008A62A7" w:rsidRDefault="00D65995" w:rsidP="00310560">
            <w:pPr>
              <w:spacing w:after="0" w:line="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A7">
              <w:rPr>
                <w:rFonts w:ascii="Times New Roman" w:hAnsi="Times New Roman" w:cs="Times New Roman"/>
                <w:b/>
                <w:sz w:val="24"/>
                <w:szCs w:val="24"/>
              </w:rPr>
              <w:t>MINISTRY OF INTERIOR</w:t>
            </w:r>
          </w:p>
        </w:tc>
      </w:tr>
      <w:tr w:rsidR="00D65995" w:rsidRPr="003048D4" w:rsidTr="008A62A7">
        <w:trPr>
          <w:trHeight w:val="120"/>
        </w:trPr>
        <w:tc>
          <w:tcPr>
            <w:tcW w:w="4679" w:type="dxa"/>
            <w:shd w:val="clear" w:color="auto" w:fill="auto"/>
          </w:tcPr>
          <w:p w:rsidR="00D65995" w:rsidRPr="008A62A7" w:rsidRDefault="00D65995" w:rsidP="00310560">
            <w:pPr>
              <w:spacing w:beforeAutospacing="1" w:after="0" w:line="56" w:lineRule="atLeast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6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Sector for Emergency Management</w:t>
            </w:r>
          </w:p>
        </w:tc>
      </w:tr>
    </w:tbl>
    <w:p w:rsidR="00D65995" w:rsidRPr="00BD63A1" w:rsidRDefault="00D65995" w:rsidP="00D65995">
      <w:pPr>
        <w:spacing w:after="0"/>
      </w:pPr>
    </w:p>
    <w:p w:rsidR="00D65995" w:rsidRDefault="00D65995" w:rsidP="00D65995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D65995" w:rsidRDefault="00D65995" w:rsidP="00D65995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D65995" w:rsidRDefault="00D65995" w:rsidP="00D65995">
      <w:pPr>
        <w:spacing w:after="16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D65995" w:rsidRDefault="00D65995" w:rsidP="00D65995">
      <w:pPr>
        <w:tabs>
          <w:tab w:val="left" w:pos="3465"/>
        </w:tabs>
        <w:rPr>
          <w:rFonts w:ascii="Arial" w:eastAsia="Times New Roman" w:hAnsi="Arial" w:cs="Arial"/>
          <w:sz w:val="20"/>
          <w:szCs w:val="20"/>
        </w:rPr>
      </w:pPr>
    </w:p>
    <w:p w:rsidR="00D65995" w:rsidRPr="00E17A02" w:rsidRDefault="00D65995" w:rsidP="00D65995">
      <w:pPr>
        <w:jc w:val="center"/>
        <w:rPr>
          <w:rFonts w:ascii="Times New Roman" w:hAnsi="Times New Roman" w:cs="Times New Roman"/>
          <w:b/>
          <w:sz w:val="28"/>
        </w:rPr>
      </w:pPr>
      <w:r w:rsidRPr="00E17A02">
        <w:rPr>
          <w:rFonts w:ascii="Times New Roman" w:hAnsi="Times New Roman" w:cs="Times New Roman"/>
          <w:b/>
          <w:sz w:val="28"/>
        </w:rPr>
        <w:t>CONTRACTING AUTHORITY’S CLARIFICATIONS No. 1</w:t>
      </w:r>
    </w:p>
    <w:p w:rsidR="00D65995" w:rsidRPr="00855C96" w:rsidRDefault="00D65995" w:rsidP="00D65995">
      <w:pPr>
        <w:jc w:val="center"/>
        <w:rPr>
          <w:b/>
          <w:sz w:val="28"/>
        </w:rPr>
      </w:pPr>
    </w:p>
    <w:p w:rsidR="00D65995" w:rsidRPr="00E17A02" w:rsidRDefault="00D65995" w:rsidP="00D6599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7A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Project title: </w:t>
      </w:r>
      <w:r w:rsidRPr="00E17A02">
        <w:rPr>
          <w:rFonts w:ascii="Times New Roman" w:hAnsi="Times New Roman" w:cs="Times New Roman"/>
          <w:b/>
          <w:color w:val="000000"/>
          <w:sz w:val="24"/>
          <w:szCs w:val="24"/>
        </w:rPr>
        <w:t>„Strengthening the capacity of the Romanian and Serbian authorities to react in case of flooding and earthquakes”</w:t>
      </w:r>
    </w:p>
    <w:p w:rsidR="00D65995" w:rsidRPr="00E17A02" w:rsidRDefault="00D65995" w:rsidP="00D6599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E17A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TENDER: Water rescue equipment - </w:t>
      </w:r>
      <w:r w:rsidRPr="00E17A02">
        <w:rPr>
          <w:rFonts w:ascii="Times New Roman" w:hAnsi="Times New Roman" w:cs="Times New Roman"/>
          <w:b/>
          <w:sz w:val="24"/>
          <w:szCs w:val="24"/>
        </w:rPr>
        <w:t>RORS 27- TD 07</w:t>
      </w:r>
    </w:p>
    <w:p w:rsidR="00D65995" w:rsidRDefault="00D65995" w:rsidP="00D6599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rPr>
          <w:rFonts w:ascii="Times New Roman" w:hAnsi="Times New Roman"/>
          <w:b/>
        </w:rPr>
      </w:pPr>
    </w:p>
    <w:tbl>
      <w:tblPr>
        <w:tblStyle w:val="TableGrid"/>
        <w:tblW w:w="9828" w:type="dxa"/>
        <w:tblLook w:val="04A0"/>
      </w:tblPr>
      <w:tblGrid>
        <w:gridCol w:w="826"/>
        <w:gridCol w:w="4386"/>
        <w:gridCol w:w="4616"/>
      </w:tblGrid>
      <w:tr w:rsidR="00D65995" w:rsidTr="007147EA">
        <w:tc>
          <w:tcPr>
            <w:tcW w:w="826" w:type="dxa"/>
            <w:shd w:val="clear" w:color="auto" w:fill="A6A6A6" w:themeFill="background1" w:themeFillShade="A6"/>
          </w:tcPr>
          <w:p w:rsidR="00D65995" w:rsidRPr="00A25113" w:rsidRDefault="00D65995" w:rsidP="00310560">
            <w:pPr>
              <w:spacing w:after="16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A251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386" w:type="dxa"/>
            <w:shd w:val="clear" w:color="auto" w:fill="A6A6A6" w:themeFill="background1" w:themeFillShade="A6"/>
          </w:tcPr>
          <w:p w:rsidR="00D65995" w:rsidRPr="00A25113" w:rsidRDefault="00D65995" w:rsidP="00310560">
            <w:pPr>
              <w:spacing w:after="16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A251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4616" w:type="dxa"/>
            <w:shd w:val="clear" w:color="auto" w:fill="A6A6A6" w:themeFill="background1" w:themeFillShade="A6"/>
          </w:tcPr>
          <w:p w:rsidR="00D65995" w:rsidRPr="00A25113" w:rsidRDefault="00D65995" w:rsidP="00310560">
            <w:pPr>
              <w:spacing w:after="16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A251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Answer</w:t>
            </w:r>
          </w:p>
          <w:p w:rsidR="00D65995" w:rsidRPr="00A25113" w:rsidRDefault="00D65995" w:rsidP="00310560">
            <w:pPr>
              <w:spacing w:after="16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65995" w:rsidTr="007147EA">
        <w:tc>
          <w:tcPr>
            <w:tcW w:w="826" w:type="dxa"/>
          </w:tcPr>
          <w:p w:rsidR="00D65995" w:rsidRPr="00A25113" w:rsidRDefault="00D65995" w:rsidP="00310560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1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:rsidR="00D65995" w:rsidRDefault="00D65995" w:rsidP="00310560">
            <w:pPr>
              <w:rPr>
                <w:rFonts w:ascii="Times New Roman" w:hAnsi="Times New Roman"/>
                <w:lang w:val="en-GB"/>
              </w:rPr>
            </w:pPr>
            <w:r w:rsidRPr="008F285E">
              <w:rPr>
                <w:rFonts w:ascii="Times New Roman" w:hAnsi="Times New Roman"/>
                <w:lang w:val="en-GB"/>
              </w:rPr>
              <w:t> </w:t>
            </w: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Lot 1.2.2 – Aluminium boats with outboard motor and trailer boat for transportation: The capacity of the 10-12 people seems exceeding for an aluminium boat of max 6 meters. </w:t>
            </w: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</w:p>
        </w:tc>
        <w:tc>
          <w:tcPr>
            <w:tcW w:w="4616" w:type="dxa"/>
          </w:tcPr>
          <w:p w:rsidR="00D65995" w:rsidRDefault="00D65995" w:rsidP="00310560">
            <w:pPr>
              <w:rPr>
                <w:rFonts w:ascii="Times New Roman" w:hAnsi="Times New Roman"/>
                <w:lang w:val="en-GB"/>
              </w:rPr>
            </w:pP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Lot 1.2.2 </w:t>
            </w:r>
          </w:p>
          <w:p w:rsidR="00D65995" w:rsidRPr="00A25113" w:rsidRDefault="00D65995" w:rsidP="0031056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Aluminium rescue boats with outboard engine must be suitable for transport of 10 – 12 people. </w:t>
            </w:r>
          </w:p>
          <w:p w:rsidR="00D65995" w:rsidRPr="00A25113" w:rsidRDefault="00D65995" w:rsidP="0031056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We remain on the request that the boat of required characteristics must provide transport from 10 to 12 people.</w:t>
            </w:r>
          </w:p>
          <w:p w:rsidR="00D65995" w:rsidRPr="008F285E" w:rsidRDefault="00D65995" w:rsidP="00310560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D65995" w:rsidTr="007147EA">
        <w:tc>
          <w:tcPr>
            <w:tcW w:w="826" w:type="dxa"/>
          </w:tcPr>
          <w:p w:rsidR="00D65995" w:rsidRPr="00A25113" w:rsidRDefault="00D65995" w:rsidP="00310560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11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6" w:type="dxa"/>
          </w:tcPr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Lot 2.2.6 - Overalls: it is not clear which material should be used. Also, please confirm details on weight.</w:t>
            </w:r>
          </w:p>
        </w:tc>
        <w:tc>
          <w:tcPr>
            <w:tcW w:w="4616" w:type="dxa"/>
            <w:vAlign w:val="center"/>
          </w:tcPr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Lot 2.2.6 </w:t>
            </w: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Overalls</w:t>
            </w:r>
            <w:r w:rsidR="002E139B"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should be made of : </w:t>
            </w:r>
          </w:p>
          <w:p w:rsidR="00D65995" w:rsidRPr="00A25113" w:rsidRDefault="00D65995" w:rsidP="002E13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50% cotton (± 3%) and 50% polyester (± 3%)</w:t>
            </w:r>
          </w:p>
          <w:p w:rsidR="00D65995" w:rsidRPr="00A25113" w:rsidRDefault="00D65995" w:rsidP="00D659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Weight 260gr (±5%)</w:t>
            </w: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65995" w:rsidTr="007147EA">
        <w:tc>
          <w:tcPr>
            <w:tcW w:w="826" w:type="dxa"/>
          </w:tcPr>
          <w:p w:rsidR="00D65995" w:rsidRPr="00A25113" w:rsidRDefault="00D65995" w:rsidP="00310560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1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86" w:type="dxa"/>
          </w:tcPr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65995" w:rsidRPr="00A25113" w:rsidRDefault="00D65995" w:rsidP="00310560">
            <w:pPr>
              <w:rPr>
                <w:rFonts w:ascii="Times New Roman" w:hAnsi="Times New Roman"/>
                <w:sz w:val="24"/>
                <w:szCs w:val="24"/>
              </w:rPr>
            </w:pPr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the technical specifications document, page 32/32, item no.2.2.10. </w:t>
            </w:r>
            <w:proofErr w:type="gramStart"/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>it</w:t>
            </w:r>
            <w:proofErr w:type="gramEnd"/>
            <w:r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required </w:t>
            </w:r>
            <w:r w:rsidRPr="00A25113">
              <w:rPr>
                <w:rFonts w:ascii="Times New Roman" w:hAnsi="Times New Roman"/>
                <w:sz w:val="24"/>
                <w:szCs w:val="24"/>
              </w:rPr>
              <w:t>„Sleeping bag“ but the text below refers to „Transport bag (dry bag)“. Kindly clarify which item is required.</w:t>
            </w:r>
          </w:p>
        </w:tc>
        <w:tc>
          <w:tcPr>
            <w:tcW w:w="4616" w:type="dxa"/>
            <w:vAlign w:val="center"/>
          </w:tcPr>
          <w:p w:rsidR="00D65995" w:rsidRPr="00A25113" w:rsidRDefault="00D65995" w:rsidP="0031056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65995" w:rsidRPr="00A25113" w:rsidRDefault="007147EA" w:rsidP="0031056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</w:t>
            </w:r>
            <w:r w:rsidR="00D65995"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want to inform you that in our terminology, the term of the transport bag is usually used, but we </w:t>
            </w:r>
            <w:proofErr w:type="spellStart"/>
            <w:r w:rsidR="00D65995" w:rsidRPr="00A25113">
              <w:rPr>
                <w:rFonts w:ascii="Times New Roman" w:hAnsi="Times New Roman"/>
                <w:sz w:val="24"/>
                <w:szCs w:val="24"/>
                <w:lang w:val="en-GB"/>
              </w:rPr>
              <w:t>can not</w:t>
            </w:r>
            <w:proofErr w:type="spellEnd"/>
            <w:r w:rsidR="00D65995" w:rsidRPr="00A2511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claim that this is the correct term. The required product must be absolutely compatible with the required technical characteristics.</w:t>
            </w:r>
          </w:p>
          <w:p w:rsidR="00D65995" w:rsidRPr="00A25113" w:rsidRDefault="00D65995" w:rsidP="0031056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2766A" w:rsidRDefault="00F2766A"/>
    <w:sectPr w:rsidR="00F2766A" w:rsidSect="00F2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6915"/>
    <w:multiLevelType w:val="hybridMultilevel"/>
    <w:tmpl w:val="572EFE18"/>
    <w:lvl w:ilvl="0" w:tplc="F92E0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5995"/>
    <w:rsid w:val="002E139B"/>
    <w:rsid w:val="00342BCD"/>
    <w:rsid w:val="007147EA"/>
    <w:rsid w:val="00837AC6"/>
    <w:rsid w:val="008A62A7"/>
    <w:rsid w:val="0091647B"/>
    <w:rsid w:val="00A25113"/>
    <w:rsid w:val="00D65995"/>
    <w:rsid w:val="00E17A02"/>
    <w:rsid w:val="00EE1EDB"/>
    <w:rsid w:val="00F2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995"/>
    <w:pPr>
      <w:ind w:left="720"/>
      <w:contextualSpacing/>
    </w:pPr>
  </w:style>
  <w:style w:type="table" w:styleId="TableGrid">
    <w:name w:val="Table Grid"/>
    <w:basedOn w:val="TableNormal"/>
    <w:uiPriority w:val="59"/>
    <w:rsid w:val="00D6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ninikolic</dc:creator>
  <cp:lastModifiedBy>ninikolic</cp:lastModifiedBy>
  <cp:revision>25</cp:revision>
  <dcterms:created xsi:type="dcterms:W3CDTF">2019-04-30T09:55:00Z</dcterms:created>
  <dcterms:modified xsi:type="dcterms:W3CDTF">2019-04-30T10:03:00Z</dcterms:modified>
</cp:coreProperties>
</file>